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E3441" w14:textId="77777777" w:rsidR="00210245" w:rsidRPr="00210245" w:rsidRDefault="00210245" w:rsidP="002102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bg-BG"/>
        </w:rPr>
      </w:pPr>
      <w:r w:rsidRPr="00210245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bg-BG"/>
        </w:rPr>
        <w:t>НАРЕДБА № 3 ОТ 5 ФЕВРУАРИ 2007 Г. ЗА ЗДРАВНИТЕ ИЗИСКВАНИЯ КЪМ ДЕТСКИТЕ ГРАДИНИ</w:t>
      </w:r>
    </w:p>
    <w:p w14:paraId="47A75B9C" w14:textId="77777777" w:rsidR="00210245" w:rsidRDefault="00210245" w:rsidP="0021024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0245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Издадена от министъра на </w:t>
      </w:r>
      <w:hyperlink r:id="rId4" w:tgtFrame="_blank" w:tooltip="Правно-информационна система Сиела Здравеопазване" w:history="1">
        <w:r w:rsidRPr="00210245">
          <w:rPr>
            <w:rFonts w:ascii="Verdana" w:eastAsia="Times New Roman" w:hAnsi="Verdana" w:cs="Times New Roman"/>
            <w:color w:val="333333"/>
            <w:sz w:val="18"/>
            <w:szCs w:val="18"/>
            <w:shd w:val="clear" w:color="auto" w:fill="EAFFFF"/>
            <w:lang w:eastAsia="bg-BG"/>
          </w:rPr>
          <w:t>здравеопазване</w:t>
        </w:r>
      </w:hyperlink>
      <w:r w:rsidRPr="00210245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то</w:t>
      </w:r>
    </w:p>
    <w:p w14:paraId="7A7239C6" w14:textId="77777777" w:rsidR="005E646B" w:rsidRPr="00210245" w:rsidRDefault="005E646B" w:rsidP="0021024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14:paraId="0B1F536C" w14:textId="77777777" w:rsidR="005E646B" w:rsidRPr="005E646B" w:rsidRDefault="005E646B" w:rsidP="005E646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bg-BG"/>
        </w:rPr>
      </w:pPr>
      <w:r w:rsidRPr="005E646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bg-BG"/>
        </w:rPr>
        <w:t>Раздел I.</w:t>
      </w:r>
      <w:r w:rsidRPr="005E646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bg-BG"/>
        </w:rPr>
        <w:br/>
        <w:t>Общи положения</w:t>
      </w:r>
    </w:p>
    <w:p w14:paraId="4BD01EB1" w14:textId="77777777" w:rsidR="005E646B" w:rsidRPr="005E646B" w:rsidRDefault="005E646B" w:rsidP="005E646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14:paraId="0A363895" w14:textId="77777777" w:rsidR="005E646B" w:rsidRPr="005E646B" w:rsidRDefault="005E646B" w:rsidP="005E646B">
      <w:pPr>
        <w:shd w:val="clear" w:color="auto" w:fill="FFFFFF"/>
        <w:spacing w:after="75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5E646B">
        <w:rPr>
          <w:rFonts w:ascii="Verdana" w:eastAsia="Times New Roman" w:hAnsi="Verdana" w:cs="Times New Roman"/>
          <w:noProof/>
          <w:color w:val="333333"/>
          <w:sz w:val="18"/>
          <w:szCs w:val="18"/>
          <w:lang w:eastAsia="bg-BG"/>
        </w:rPr>
        <w:drawing>
          <wp:inline distT="0" distB="0" distL="0" distR="0" wp14:anchorId="2CE9E192" wp14:editId="237F6A3E">
            <wp:extent cx="175260" cy="175260"/>
            <wp:effectExtent l="0" t="0" r="0" b="0"/>
            <wp:docPr id="1" name="image_i_2" descr="https://lex.bg/assets/images/blaws1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i_2" descr="https://lex.bg/assets/images/blaws1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646B">
        <w:rPr>
          <w:rFonts w:ascii="Verdana" w:eastAsia="Times New Roman" w:hAnsi="Verdana" w:cs="Times New Roman"/>
          <w:noProof/>
          <w:color w:val="333333"/>
          <w:sz w:val="18"/>
          <w:szCs w:val="18"/>
          <w:lang w:eastAsia="bg-BG"/>
        </w:rPr>
        <w:drawing>
          <wp:inline distT="0" distB="0" distL="0" distR="0" wp14:anchorId="6A1B9BF2" wp14:editId="403A816F">
            <wp:extent cx="175260" cy="175260"/>
            <wp:effectExtent l="0" t="0" r="0" b="0"/>
            <wp:docPr id="2" name="Картина 2" descr="https://lex.bg/assets/images/blaws2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ex.bg/assets/images/blaws2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646B">
        <w:rPr>
          <w:rFonts w:ascii="Verdana" w:eastAsia="Times New Roman" w:hAnsi="Verdana" w:cs="Times New Roman"/>
          <w:noProof/>
          <w:color w:val="333333"/>
          <w:sz w:val="18"/>
          <w:szCs w:val="18"/>
          <w:lang w:eastAsia="bg-BG"/>
        </w:rPr>
        <w:drawing>
          <wp:inline distT="0" distB="0" distL="0" distR="0" wp14:anchorId="1F845618" wp14:editId="32E7973C">
            <wp:extent cx="175260" cy="175260"/>
            <wp:effectExtent l="0" t="0" r="0" b="0"/>
            <wp:docPr id="3" name="Картина 3" descr="https://lex.bg/assets/images/blaws3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ex.bg/assets/images/blaws3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646B">
        <w:rPr>
          <w:rFonts w:ascii="Verdana" w:eastAsia="Times New Roman" w:hAnsi="Verdana" w:cs="Times New Roman"/>
          <w:noProof/>
          <w:color w:val="333333"/>
          <w:sz w:val="18"/>
          <w:szCs w:val="18"/>
          <w:lang w:eastAsia="bg-BG"/>
        </w:rPr>
        <w:drawing>
          <wp:inline distT="0" distB="0" distL="0" distR="0" wp14:anchorId="79A19B54" wp14:editId="47D0F11B">
            <wp:extent cx="175260" cy="175260"/>
            <wp:effectExtent l="0" t="0" r="0" b="0"/>
            <wp:docPr id="4" name="Картина 4" descr="https://lex.bg/assets/images/blaws4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ex.bg/assets/images/blaws4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55C28" w14:textId="77777777" w:rsidR="005E646B" w:rsidRPr="005E646B" w:rsidRDefault="005E646B" w:rsidP="005E646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5E646B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bg-BG"/>
        </w:rPr>
        <w:t>Чл. 1.</w:t>
      </w:r>
      <w:r w:rsidRPr="005E646B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 (1) С тази наредба се определят здравните изисквания към детските градини.</w:t>
      </w:r>
    </w:p>
    <w:p w14:paraId="7D4D54ED" w14:textId="77777777" w:rsidR="00B62CAD" w:rsidRPr="00B62CAD" w:rsidRDefault="00B62CAD" w:rsidP="00B62C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B62CA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bg-BG"/>
        </w:rPr>
        <w:t>Чл. 2.</w:t>
      </w:r>
      <w:r w:rsidRPr="00B62CAD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 Здравните изисквания се отнасят до:</w:t>
      </w:r>
    </w:p>
    <w:p w14:paraId="1AC0059B" w14:textId="77777777" w:rsidR="00B62CAD" w:rsidRPr="00B62CAD" w:rsidRDefault="00B62CAD" w:rsidP="00B62C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B62CAD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1. сградите и помещенията;</w:t>
      </w:r>
    </w:p>
    <w:p w14:paraId="53A3C860" w14:textId="77777777" w:rsidR="00B62CAD" w:rsidRPr="00B62CAD" w:rsidRDefault="00B62CAD" w:rsidP="00B62C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B62CAD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2. оборудването и обзавеждането на помещенията;</w:t>
      </w:r>
    </w:p>
    <w:p w14:paraId="4D4AE623" w14:textId="77777777" w:rsidR="00B62CAD" w:rsidRPr="00B62CAD" w:rsidRDefault="00B62CAD" w:rsidP="00B62C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B62CAD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3. факторите на средата;</w:t>
      </w:r>
    </w:p>
    <w:p w14:paraId="4D6BAFB2" w14:textId="77777777" w:rsidR="00B62CAD" w:rsidRPr="00B62CAD" w:rsidRDefault="00B62CAD" w:rsidP="00B62CA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B62CAD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4. дейността в детската градина.</w:t>
      </w:r>
    </w:p>
    <w:p w14:paraId="3740177B" w14:textId="77777777" w:rsidR="00307DCD" w:rsidRDefault="00307DCD"/>
    <w:p w14:paraId="30D19F07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 клас.</w:t>
      </w:r>
    </w:p>
    <w:p w14:paraId="74CEA51C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(2) (Доп. - ДВ, бр. 64 от 2012 г.) В целодневните и седмичните детски градини могат да се откриват яслени групи за деца от 3-месечна до 3-годишна възраст при спазване на изискванията на Наредба № 26 от 2008 г. за устройството и дейността на детските ясли и детските кухни и здравните изисквания към тях (ДВ, бр. 103 от 2008 г.).</w:t>
      </w:r>
    </w:p>
    <w:p w14:paraId="36A10DA5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14:paraId="5B955120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</w:p>
    <w:p w14:paraId="0A561ED5" w14:textId="77777777" w:rsidR="0021193A" w:rsidRPr="0021193A" w:rsidRDefault="0021193A" w:rsidP="0021193A">
      <w:pPr>
        <w:shd w:val="clear" w:color="auto" w:fill="FFFFFF"/>
        <w:spacing w:after="75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noProof/>
          <w:color w:val="333333"/>
          <w:sz w:val="18"/>
          <w:szCs w:val="18"/>
          <w:lang w:eastAsia="bg-BG"/>
        </w:rPr>
        <w:drawing>
          <wp:inline distT="0" distB="0" distL="0" distR="0" wp14:anchorId="35BE81EF" wp14:editId="688B8198">
            <wp:extent cx="175260" cy="175260"/>
            <wp:effectExtent l="0" t="0" r="0" b="0"/>
            <wp:docPr id="5" name="image_i_79" descr="https://lex.bg/assets/images/blaws1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i_79" descr="https://lex.bg/assets/images/blaws1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93A">
        <w:rPr>
          <w:rFonts w:ascii="Verdana" w:eastAsia="Times New Roman" w:hAnsi="Verdana" w:cs="Times New Roman"/>
          <w:noProof/>
          <w:color w:val="333333"/>
          <w:sz w:val="18"/>
          <w:szCs w:val="18"/>
          <w:lang w:eastAsia="bg-BG"/>
        </w:rPr>
        <w:drawing>
          <wp:inline distT="0" distB="0" distL="0" distR="0" wp14:anchorId="4AF780E8" wp14:editId="14191236">
            <wp:extent cx="175260" cy="175260"/>
            <wp:effectExtent l="0" t="0" r="0" b="0"/>
            <wp:docPr id="6" name="Картина 6" descr="https://lex.bg/assets/images/blaws2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ex.bg/assets/images/blaws2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93A">
        <w:rPr>
          <w:rFonts w:ascii="Verdana" w:eastAsia="Times New Roman" w:hAnsi="Verdana" w:cs="Times New Roman"/>
          <w:noProof/>
          <w:color w:val="333333"/>
          <w:sz w:val="18"/>
          <w:szCs w:val="18"/>
          <w:lang w:eastAsia="bg-BG"/>
        </w:rPr>
        <w:drawing>
          <wp:inline distT="0" distB="0" distL="0" distR="0" wp14:anchorId="20DC5180" wp14:editId="3F2F5199">
            <wp:extent cx="175260" cy="175260"/>
            <wp:effectExtent l="0" t="0" r="0" b="0"/>
            <wp:docPr id="7" name="Картина 7" descr="https://lex.bg/assets/images/blaws3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ex.bg/assets/images/blaws3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93A">
        <w:rPr>
          <w:rFonts w:ascii="Verdana" w:eastAsia="Times New Roman" w:hAnsi="Verdana" w:cs="Times New Roman"/>
          <w:noProof/>
          <w:color w:val="333333"/>
          <w:sz w:val="18"/>
          <w:szCs w:val="18"/>
          <w:lang w:eastAsia="bg-BG"/>
        </w:rPr>
        <w:drawing>
          <wp:inline distT="0" distB="0" distL="0" distR="0" wp14:anchorId="155A39F8" wp14:editId="416E9B56">
            <wp:extent cx="175260" cy="175260"/>
            <wp:effectExtent l="0" t="0" r="0" b="0"/>
            <wp:docPr id="8" name="Картина 8" descr="https://lex.bg/assets/images/blaws4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ex.bg/assets/images/blaws4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97B91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bg-BG"/>
        </w:rPr>
        <w:t>Чл. 4.</w:t>
      </w: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 (Изм. - ДВ, бр. 108 от 2024 г., в сила от 01.09.2025 г.) (1) Приемът на деца в детските градини се извършва при възможност целогодишно.</w:t>
      </w:r>
    </w:p>
    <w:p w14:paraId="2C362745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(2) Преди първото посещение в детската градина в електронния здравен запис на детето в Националната здравноинформационна система (НЗИС) трябва да са налични следните данни от проведени медицински прегледи:</w:t>
      </w:r>
    </w:p>
    <w:p w14:paraId="348D4162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1. информация за наличие или не на хронично заболяване и/или алергия;</w:t>
      </w:r>
    </w:p>
    <w:p w14:paraId="2A1212BC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2. еднократен отрицателен резултат от изследване за патогенни чревни бактерии и чревни паразити, извършено не по-рано от 15 дни преди първото посещение на детето в детската градина;</w:t>
      </w:r>
    </w:p>
    <w:p w14:paraId="126590BD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3. информация от общопрактикуващия лекар или от друг лекар по чл. 15, ал. 2 от Наредба № 15 от 2005 г. за имунизациите в Република България (ДВ, бр. 45 от 2005 г.) за поставените задължителни и препоръчителни имунизации и реимунизации за възрастта съгласно Наредба № 15 от 2005 г. за имунизациите в Република България по дата на поставяне, поредност на приема и търговското наименование на приложената ваксина;</w:t>
      </w:r>
    </w:p>
    <w:p w14:paraId="5D6E5F5A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4. при деца с поставени задължителни имунизации и/или реимунизации в друга възраст - информация от общопрактикуващия лекар или от друг лекар по чл. 15, ал. 2 от Наредба № 15 от 2005 г. за имунизациите в Република България за причината за това и заключение, че детето е с редовен имунизационен статус съгласно разпоредбите на чл. 18 от Наредба № 15 за имунизациите в Република България;</w:t>
      </w:r>
    </w:p>
    <w:p w14:paraId="6E4CDE7A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5. при деца, отложени от задължителни имунизации и/или реимунизации поради наличие на медицински противопоказания - решение от областна специализирана комисия по чл. 20, ал. 3 от Наредба № 15 от 2005 г. за имунизациите в Република България с посочен срок за отлагане.</w:t>
      </w:r>
    </w:p>
    <w:p w14:paraId="15FFE5E9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(3) Децата, които посещават детска градина, са с приложени за възрастта задължителни имунизации и реимунизации съгласно Наредба № 15 от 2005 г. за имунизациите в Република България. При наличие на деца с медицински противопоказания за имунизации същите следва да са имунизирани с всички допустими имунизации и реимунизации в съответствие с посочените в решенията по ал. 2, т. 5.</w:t>
      </w:r>
    </w:p>
    <w:p w14:paraId="1523CB3A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 xml:space="preserve">(4) При отсъствие на детето от детската градина за повече от 1 месец по епидемични показания преди връщането му в детската градина в електронния му здравен запис в НЗИС трябва да е наличен еднократен отрицателен резултат от изследване за патогенни чревни бактерии, а при отсъствие за повече от 2 месеца - еднократен отрицателен резултат за чревни паразити съгласно Наредба № 5 от 2006 г. за диагностиката, профилактиката и контрола на местните </w:t>
      </w:r>
      <w:proofErr w:type="spellStart"/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паразитози</w:t>
      </w:r>
      <w:proofErr w:type="spellEnd"/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 (ДВ, бр. 40 от 2006 г.).</w:t>
      </w:r>
    </w:p>
    <w:p w14:paraId="193830A9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lastRenderedPageBreak/>
        <w:t>(5) Информацията по ал. 2, т. 1 се въвежда в НЗИС от общопрактикуващия лекар или от лекаря специалист, открил заболяването на детето, информацията по ал. 2, т. 2 и ал. 4 - от съответните лаборатории, извършили изследването, а информацията по ал. 2, т. 3, 4 и 5 - от съответните медицински специалисти.</w:t>
      </w:r>
    </w:p>
    <w:p w14:paraId="1BAF8CE7" w14:textId="77777777" w:rsidR="0021193A" w:rsidRPr="0021193A" w:rsidRDefault="0021193A" w:rsidP="002119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21193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(6) Достъп до информацията по ал. 2 и 4 имат медицинските специалисти от здравните кабинети в детските градини. Достъпът им се осигурява посредством ресурсите на Националната електронна информационна система за предучилищното и училищното образование.</w:t>
      </w:r>
    </w:p>
    <w:p w14:paraId="38BD34AA" w14:textId="77777777" w:rsidR="0021193A" w:rsidRPr="0021193A" w:rsidRDefault="0021193A" w:rsidP="002119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bg-BG"/>
        </w:rPr>
      </w:pPr>
    </w:p>
    <w:p w14:paraId="4D9A20D1" w14:textId="77777777" w:rsidR="0021193A" w:rsidRDefault="0021193A"/>
    <w:sectPr w:rsidR="00211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F7B"/>
    <w:rsid w:val="00054F7B"/>
    <w:rsid w:val="001C2E93"/>
    <w:rsid w:val="00210245"/>
    <w:rsid w:val="0021193A"/>
    <w:rsid w:val="00307DCD"/>
    <w:rsid w:val="005708ED"/>
    <w:rsid w:val="005E646B"/>
    <w:rsid w:val="00B6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52424"/>
  <w15:chartTrackingRefBased/>
  <w15:docId w15:val="{CE3725AA-73FF-41FE-8D95-86FDC6455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19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8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5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0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7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hyperlink" Target="javascript:void(0);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-ciela.net/specializirani-produkti/21-siela-zdraveopazvane.html?utm_source=lex.bg&amp;utm_medium=laws&amp;utm_campaign=lex_context&amp;utm_id=1" TargetMode="Externa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400204</cp:lastModifiedBy>
  <cp:revision>2</cp:revision>
  <dcterms:created xsi:type="dcterms:W3CDTF">2025-11-05T11:58:00Z</dcterms:created>
  <dcterms:modified xsi:type="dcterms:W3CDTF">2025-11-05T11:58:00Z</dcterms:modified>
</cp:coreProperties>
</file>